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8E" w:rsidRPr="00D21AFF" w:rsidRDefault="005D5E8E" w:rsidP="00A829C8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bCs/>
          <w:color w:val="000000"/>
        </w:rPr>
      </w:pPr>
      <w:r w:rsidRPr="00D21AFF">
        <w:rPr>
          <w:rFonts w:ascii="Palatino Linotype" w:hAnsi="Palatino Linotype" w:cs="Arial"/>
          <w:b/>
        </w:rPr>
        <w:t xml:space="preserve">OPINIÓN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595243">
        <w:rPr>
          <w:rFonts w:ascii="Palatino Linotype" w:hAnsi="Palatino Linotype" w:cs="Arial"/>
          <w:b/>
        </w:rPr>
        <w:t xml:space="preserve">CUARTA </w:t>
      </w:r>
      <w:r w:rsidR="00355366">
        <w:rPr>
          <w:rFonts w:ascii="Palatino Linotype" w:hAnsi="Palatino Linotype" w:cs="Arial"/>
          <w:b/>
        </w:rPr>
        <w:t xml:space="preserve">SESIÓN ORDINARIA DEL </w:t>
      </w:r>
      <w:r w:rsidR="00595243">
        <w:rPr>
          <w:rFonts w:ascii="Palatino Linotype" w:hAnsi="Palatino Linotype" w:cs="Arial"/>
          <w:b/>
        </w:rPr>
        <w:t>TREINTA</w:t>
      </w:r>
      <w:r w:rsidRPr="00D21AFF">
        <w:rPr>
          <w:rFonts w:ascii="Palatino Linotype" w:hAnsi="Palatino Linotype" w:cs="Arial"/>
          <w:b/>
        </w:rPr>
        <w:t xml:space="preserve"> DE </w:t>
      </w:r>
      <w:r w:rsidR="00595243">
        <w:rPr>
          <w:rFonts w:ascii="Palatino Linotype" w:hAnsi="Palatino Linotype" w:cs="Arial"/>
          <w:b/>
        </w:rPr>
        <w:t xml:space="preserve">ENERO </w:t>
      </w:r>
      <w:r w:rsidRPr="00D21AFF">
        <w:rPr>
          <w:rFonts w:ascii="Palatino Linotype" w:hAnsi="Palatino Linotype" w:cs="Arial"/>
          <w:b/>
        </w:rPr>
        <w:t>DE DOS MIL DI</w:t>
      </w:r>
      <w:r w:rsidR="00595243">
        <w:rPr>
          <w:rFonts w:ascii="Palatino Linotype" w:hAnsi="Palatino Linotype" w:cs="Arial"/>
          <w:b/>
        </w:rPr>
        <w:t>ECINUEVE</w:t>
      </w:r>
      <w:r w:rsidRPr="00D21AFF">
        <w:rPr>
          <w:rFonts w:ascii="Palatino Linotype" w:hAnsi="Palatino Linotype" w:cs="Arial"/>
          <w:b/>
        </w:rPr>
        <w:t xml:space="preserve">, EN EL RECURSO DE REVISIÓN </w:t>
      </w:r>
      <w:r w:rsidR="00595243">
        <w:rPr>
          <w:rFonts w:ascii="Palatino Linotype" w:eastAsia="Calibri" w:hAnsi="Palatino Linotype" w:cs="Arial"/>
          <w:b/>
          <w:bCs/>
          <w:color w:val="000000"/>
        </w:rPr>
        <w:t>0441</w:t>
      </w:r>
      <w:r w:rsidR="00355366">
        <w:rPr>
          <w:rFonts w:ascii="Palatino Linotype" w:eastAsia="Calibri" w:hAnsi="Palatino Linotype" w:cs="Arial"/>
          <w:b/>
          <w:bCs/>
          <w:color w:val="000000"/>
        </w:rPr>
        <w:t>0</w:t>
      </w:r>
      <w:r w:rsidR="00D21AFF" w:rsidRP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.</w:t>
      </w:r>
    </w:p>
    <w:p w:rsidR="005D5E8E" w:rsidRPr="00D21AFF" w:rsidRDefault="005D5E8E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D21AFF">
        <w:rPr>
          <w:rFonts w:ascii="Palatino Linotype" w:hAnsi="Palatino Linotype" w:cs="Arial"/>
          <w:b/>
          <w:lang w:val="es-ES_tradnl"/>
        </w:rPr>
        <w:t xml:space="preserve"> </w:t>
      </w:r>
      <w:r w:rsidRPr="00D21AFF">
        <w:rPr>
          <w:rFonts w:ascii="Palatino Linotype" w:hAnsi="Palatino Linotype" w:cs="Arial"/>
          <w:b/>
        </w:rPr>
        <w:t xml:space="preserve">EVA ABAID YAPUR, </w:t>
      </w:r>
      <w:r w:rsidRPr="00D21AFF">
        <w:rPr>
          <w:rFonts w:ascii="Palatino Linotype" w:hAnsi="Palatino Linotype" w:cs="Arial"/>
        </w:rPr>
        <w:t xml:space="preserve">emite </w:t>
      </w:r>
      <w:r w:rsidRPr="00D21AFF">
        <w:rPr>
          <w:rFonts w:ascii="Palatino Linotype" w:hAnsi="Palatino Linotype" w:cs="Arial"/>
          <w:b/>
        </w:rPr>
        <w:t xml:space="preserve">OPINIÓN PARTICULAR </w:t>
      </w:r>
      <w:r w:rsidRPr="00D21AFF">
        <w:rPr>
          <w:rFonts w:ascii="Palatino Linotype" w:hAnsi="Palatino Linotype" w:cs="Arial"/>
        </w:rPr>
        <w:t xml:space="preserve">respecto de la resolución dictada en el recurso de revisión </w:t>
      </w:r>
      <w:r w:rsidR="00595243">
        <w:rPr>
          <w:rFonts w:ascii="Palatino Linotype" w:hAnsi="Palatino Linotype" w:cs="Arial"/>
          <w:b/>
        </w:rPr>
        <w:t>0441</w:t>
      </w:r>
      <w:r w:rsidR="00355366">
        <w:rPr>
          <w:rFonts w:ascii="Palatino Linotype" w:hAnsi="Palatino Linotype" w:cs="Arial"/>
          <w:b/>
        </w:rPr>
        <w:t>0</w:t>
      </w:r>
      <w:r w:rsid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,</w:t>
      </w:r>
      <w:r w:rsidRPr="00D21AFF">
        <w:rPr>
          <w:rFonts w:ascii="Palatino Linotype" w:hAnsi="Palatino Linotype" w:cs="Arial"/>
        </w:rPr>
        <w:t xml:space="preserve"> pronunciada por el Pleno de este Instituto ante el proyecto </w:t>
      </w:r>
      <w:r w:rsidR="00355366">
        <w:rPr>
          <w:rFonts w:ascii="Palatino Linotype" w:hAnsi="Palatino Linotype" w:cs="Arial"/>
        </w:rPr>
        <w:t xml:space="preserve">presentado por </w:t>
      </w:r>
      <w:r w:rsidR="00D21AFF">
        <w:rPr>
          <w:rFonts w:ascii="Palatino Linotype" w:hAnsi="Palatino Linotype" w:cs="Arial"/>
        </w:rPr>
        <w:t>l</w:t>
      </w:r>
      <w:r w:rsidR="00355366">
        <w:rPr>
          <w:rFonts w:ascii="Palatino Linotype" w:hAnsi="Palatino Linotype" w:cs="Arial"/>
        </w:rPr>
        <w:t>a Comisionada</w:t>
      </w:r>
      <w:r w:rsidRPr="00D21AFF">
        <w:rPr>
          <w:rFonts w:ascii="Palatino Linotype" w:hAnsi="Palatino Linotype" w:cs="Arial"/>
        </w:rPr>
        <w:t xml:space="preserve"> </w:t>
      </w:r>
      <w:r w:rsidR="00355366">
        <w:rPr>
          <w:rFonts w:ascii="Palatino Linotype" w:hAnsi="Palatino Linotype" w:cs="Arial"/>
        </w:rPr>
        <w:t xml:space="preserve">Presidenta </w:t>
      </w:r>
      <w:r w:rsidR="00355366">
        <w:rPr>
          <w:rFonts w:ascii="Palatino Linotype" w:hAnsi="Palatino Linotype" w:cs="Arial"/>
          <w:b/>
          <w:lang w:val="es-ES_tradnl"/>
        </w:rPr>
        <w:t>ZULEMA MARTÍNEZ SÁNCHEZ</w:t>
      </w:r>
      <w:r w:rsidRPr="00D21AFF">
        <w:rPr>
          <w:rFonts w:ascii="Palatino Linotype" w:hAnsi="Palatino Linotype" w:cs="Arial"/>
          <w:b/>
        </w:rPr>
        <w:t>,</w:t>
      </w:r>
      <w:r w:rsidRPr="00D21AFF">
        <w:rPr>
          <w:rFonts w:ascii="Palatino Linotype" w:hAnsi="Palatino Linotype" w:cs="Arial"/>
        </w:rPr>
        <w:t xml:space="preserve"> que es del tenor siguiente.</w:t>
      </w:r>
    </w:p>
    <w:p w:rsidR="00595243" w:rsidRDefault="005D5E8E" w:rsidP="00A829C8">
      <w:pPr>
        <w:spacing w:before="100" w:beforeAutospacing="1" w:after="100" w:afterAutospacing="1" w:line="360" w:lineRule="auto"/>
        <w:ind w:right="51"/>
        <w:jc w:val="both"/>
        <w:rPr>
          <w:rFonts w:ascii="Palatino Linotype" w:hAnsi="Palatino Linotype"/>
        </w:rPr>
      </w:pPr>
      <w:r w:rsidRPr="00D21AFF">
        <w:rPr>
          <w:rFonts w:ascii="Palatino Linotype" w:hAnsi="Palatino Linotype"/>
        </w:rPr>
        <w:t xml:space="preserve">Como quedó precisado en la resolución de mérito, </w:t>
      </w:r>
      <w:r w:rsidR="00D21AFF">
        <w:rPr>
          <w:rFonts w:ascii="Palatino Linotype" w:hAnsi="Palatino Linotype"/>
        </w:rPr>
        <w:t>l</w:t>
      </w:r>
      <w:r w:rsidR="00595243">
        <w:rPr>
          <w:rFonts w:ascii="Palatino Linotype" w:hAnsi="Palatino Linotype"/>
        </w:rPr>
        <w:t>a</w:t>
      </w:r>
      <w:r w:rsidRPr="00D21AFF">
        <w:rPr>
          <w:rFonts w:ascii="Palatino Linotype" w:hAnsi="Palatino Linotype"/>
        </w:rPr>
        <w:t xml:space="preserve"> particular requirió de</w:t>
      </w:r>
      <w:r w:rsidR="00595243">
        <w:rPr>
          <w:rFonts w:ascii="Palatino Linotype" w:hAnsi="Palatino Linotype"/>
        </w:rPr>
        <w:t xml:space="preserve">l </w:t>
      </w:r>
      <w:r w:rsidR="00595243">
        <w:rPr>
          <w:rFonts w:ascii="Palatino Linotype" w:hAnsi="Palatino Linotype"/>
          <w:b/>
        </w:rPr>
        <w:t>Ayuntamiento de Atenco</w:t>
      </w:r>
      <w:r w:rsidR="00D21AFF">
        <w:rPr>
          <w:rFonts w:ascii="Palatino Linotype" w:hAnsi="Palatino Linotype"/>
        </w:rPr>
        <w:t xml:space="preserve">, en lo sucesivo </w:t>
      </w:r>
      <w:r w:rsidR="00D21AFF">
        <w:rPr>
          <w:rFonts w:ascii="Palatino Linotype" w:hAnsi="Palatino Linotype"/>
          <w:b/>
        </w:rPr>
        <w:t xml:space="preserve">EL </w:t>
      </w:r>
      <w:r w:rsidRPr="00D21AFF">
        <w:rPr>
          <w:rFonts w:ascii="Palatino Linotype" w:hAnsi="Palatino Linotype"/>
          <w:b/>
        </w:rPr>
        <w:t>SUJETO OBLIGADO</w:t>
      </w:r>
      <w:r w:rsidR="00D21AFF">
        <w:rPr>
          <w:rFonts w:ascii="Palatino Linotype" w:hAnsi="Palatino Linotype"/>
          <w:b/>
        </w:rPr>
        <w:t>,</w:t>
      </w:r>
      <w:r w:rsidRPr="00D21AFF">
        <w:rPr>
          <w:rFonts w:ascii="Palatino Linotype" w:hAnsi="Palatino Linotype"/>
          <w:b/>
        </w:rPr>
        <w:t xml:space="preserve"> </w:t>
      </w:r>
      <w:r w:rsidR="00595243" w:rsidRPr="00421FF9">
        <w:rPr>
          <w:rFonts w:ascii="Palatino Linotype" w:hAnsi="Palatino Linotype" w:cs="Arial"/>
          <w:i/>
        </w:rPr>
        <w:t>“</w:t>
      </w:r>
      <w:r w:rsidR="00595243" w:rsidRPr="007A7C2C">
        <w:rPr>
          <w:rFonts w:ascii="Palatino Linotype" w:hAnsi="Palatino Linotype"/>
          <w:i/>
          <w:color w:val="000000"/>
        </w:rPr>
        <w:t>Requiero información pública del salario bruto y neto mensual que percibe el PRESIDENTE MUNICIPAL, SINDICO Y REGIDORES del municipio de ATENCO, esto con la finalidad de un trabajo de investigación de la Universidad.</w:t>
      </w:r>
      <w:r w:rsidR="00595243" w:rsidRPr="00421FF9">
        <w:rPr>
          <w:rFonts w:ascii="Palatino Linotype" w:hAnsi="Palatino Linotype" w:cs="Arial"/>
          <w:i/>
        </w:rPr>
        <w:t>” [Sic]</w:t>
      </w:r>
    </w:p>
    <w:p w:rsidR="007039EA" w:rsidRDefault="005D5E8E" w:rsidP="00A829C8">
      <w:pPr>
        <w:spacing w:before="100" w:beforeAutospacing="1" w:after="100" w:afterAutospacing="1" w:line="360" w:lineRule="auto"/>
        <w:ind w:right="141"/>
        <w:jc w:val="both"/>
        <w:rPr>
          <w:rFonts w:ascii="Palatino Linotype" w:hAnsi="Palatino Linotype" w:cs="Arial"/>
          <w:bCs/>
        </w:rPr>
      </w:pPr>
      <w:r w:rsidRPr="00D21AFF">
        <w:rPr>
          <w:rFonts w:ascii="Palatino Linotype" w:hAnsi="Palatino Linotype"/>
        </w:rPr>
        <w:t xml:space="preserve">Al respecto, </w:t>
      </w:r>
      <w:r w:rsidRPr="00D21AFF">
        <w:rPr>
          <w:rFonts w:ascii="Palatino Linotype" w:hAnsi="Palatino Linotype" w:cs="Arial"/>
          <w:b/>
        </w:rPr>
        <w:t xml:space="preserve">EL </w:t>
      </w:r>
      <w:r w:rsidRPr="00D21AFF">
        <w:rPr>
          <w:rFonts w:ascii="Palatino Linotype" w:hAnsi="Palatino Linotype" w:cs="Arial"/>
          <w:b/>
          <w:lang w:val="es-ES_tradnl"/>
        </w:rPr>
        <w:t>SUJETO OBLIGADO</w:t>
      </w:r>
      <w:r w:rsidRPr="00D21AFF">
        <w:rPr>
          <w:rFonts w:ascii="Palatino Linotype" w:hAnsi="Palatino Linotype" w:cs="Arial"/>
        </w:rPr>
        <w:t xml:space="preserve"> </w:t>
      </w:r>
      <w:r w:rsidR="00595243">
        <w:rPr>
          <w:rFonts w:ascii="Palatino Linotype" w:hAnsi="Palatino Linotype" w:cs="Arial"/>
        </w:rPr>
        <w:t xml:space="preserve">fue omiso </w:t>
      </w:r>
      <w:r w:rsidR="00595243" w:rsidRPr="00D21AFF">
        <w:rPr>
          <w:rFonts w:ascii="Palatino Linotype" w:hAnsi="Palatino Linotype" w:cs="Arial"/>
        </w:rPr>
        <w:t xml:space="preserve">en </w:t>
      </w:r>
      <w:r w:rsidR="00595243">
        <w:rPr>
          <w:rFonts w:ascii="Palatino Linotype" w:hAnsi="Palatino Linotype" w:cs="Arial"/>
        </w:rPr>
        <w:t xml:space="preserve">dar </w:t>
      </w:r>
      <w:r w:rsidR="00595243" w:rsidRPr="00D21AFF">
        <w:rPr>
          <w:rFonts w:ascii="Palatino Linotype" w:hAnsi="Palatino Linotype" w:cs="Arial"/>
        </w:rPr>
        <w:t>respuest</w:t>
      </w:r>
      <w:r w:rsidR="00595243">
        <w:rPr>
          <w:rFonts w:ascii="Palatino Linotype" w:hAnsi="Palatino Linotype" w:cs="Arial"/>
        </w:rPr>
        <w:t>a a la solicitud de información.</w:t>
      </w:r>
    </w:p>
    <w:p w:rsidR="005D5E8E" w:rsidRPr="00D21AFF" w:rsidRDefault="005D5E8E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/>
          <w:color w:val="000000"/>
          <w:lang w:eastAsia="es-MX"/>
        </w:rPr>
        <w:lastRenderedPageBreak/>
        <w:t xml:space="preserve">Inconforme con </w:t>
      </w:r>
      <w:r w:rsidR="00E7525C">
        <w:rPr>
          <w:rFonts w:ascii="Palatino Linotype" w:hAnsi="Palatino Linotype"/>
          <w:color w:val="000000"/>
          <w:lang w:eastAsia="es-MX"/>
        </w:rPr>
        <w:t>la</w:t>
      </w:r>
      <w:r w:rsidRPr="00D21AFF">
        <w:rPr>
          <w:rFonts w:ascii="Palatino Linotype" w:hAnsi="Palatino Linotype"/>
          <w:color w:val="000000"/>
          <w:lang w:eastAsia="es-MX"/>
        </w:rPr>
        <w:t xml:space="preserve"> respuesta</w:t>
      </w:r>
      <w:r w:rsidR="00E7525C">
        <w:rPr>
          <w:rFonts w:ascii="Palatino Linotype" w:hAnsi="Palatino Linotype"/>
          <w:color w:val="000000"/>
          <w:lang w:eastAsia="es-MX"/>
        </w:rPr>
        <w:t xml:space="preserve"> otorgada por parte del </w:t>
      </w:r>
      <w:r w:rsidR="00E7525C" w:rsidRPr="00E7525C">
        <w:rPr>
          <w:rFonts w:ascii="Palatino Linotype" w:hAnsi="Palatino Linotype"/>
          <w:b/>
          <w:color w:val="000000"/>
          <w:lang w:eastAsia="es-MX"/>
        </w:rPr>
        <w:t>SUJETO OBLIGADO</w:t>
      </w:r>
      <w:r w:rsidR="00E7525C">
        <w:rPr>
          <w:rFonts w:ascii="Palatino Linotype" w:hAnsi="Palatino Linotype"/>
          <w:color w:val="000000"/>
          <w:lang w:eastAsia="es-MX"/>
        </w:rPr>
        <w:t>,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="00DC6F6A">
        <w:rPr>
          <w:rFonts w:ascii="Palatino Linotype" w:hAnsi="Palatino Linotype"/>
          <w:b/>
          <w:color w:val="000000"/>
          <w:lang w:eastAsia="es-MX"/>
        </w:rPr>
        <w:t>L</w:t>
      </w:r>
      <w:r w:rsidR="00595243">
        <w:rPr>
          <w:rFonts w:ascii="Palatino Linotype" w:hAnsi="Palatino Linotype"/>
          <w:b/>
          <w:color w:val="000000"/>
          <w:lang w:eastAsia="es-MX"/>
        </w:rPr>
        <w:t>A</w:t>
      </w:r>
      <w:r w:rsidRPr="00D21AFF">
        <w:rPr>
          <w:rFonts w:ascii="Palatino Linotype" w:hAnsi="Palatino Linotype"/>
          <w:b/>
          <w:color w:val="000000"/>
          <w:lang w:eastAsia="es-MX"/>
        </w:rPr>
        <w:t xml:space="preserve"> RECURRENTE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Pr="00D21AFF">
        <w:rPr>
          <w:rFonts w:ascii="Palatino Linotype" w:hAnsi="Palatino Linotype" w:cs="Arial"/>
        </w:rPr>
        <w:t>interpuso el recurso de revisión de mérito, mediante el cual señaló como acto impugnado:</w:t>
      </w:r>
    </w:p>
    <w:p w:rsidR="005D5E8E" w:rsidRPr="00D21AFF" w:rsidRDefault="00DC6F6A" w:rsidP="00A829C8">
      <w:pPr>
        <w:ind w:left="851" w:right="902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595243" w:rsidRPr="00595243">
        <w:rPr>
          <w:rFonts w:ascii="Palatino Linotype" w:hAnsi="Palatino Linotype"/>
          <w:i/>
          <w:color w:val="000000"/>
          <w:sz w:val="22"/>
          <w:szCs w:val="22"/>
        </w:rPr>
        <w:t>De conformidad con los artículos 176, 178 Párrafo Segundo, y 179 fracción VII de la Ley de Transparencia y Acceso a la Información Pública del Estado de México y Municipios, comparezco para exponer: Mediante expediente número00040/ATENCO/IP/2018 se solicitó al H. Ayuntamiento de Atenco INFORMACIÓN PÚBLICA respecto de las percepciones mensuales del PRESIDENTE MUNICIPAL, SINDICO Y REGIDORES que componen el cabildo. En fecha 05/11/2018 se venció el plazo de contestación, sin obtener respuesta del sujeto obligado, motivo por el cual me permito interponer en tiempo y forma recurso de recurso de revisión en contra de la omisión a mi solicitud por los sujetos obligados de la información solicitada. A su vez, se requiere sean brindados LOS RECIBOS DE NÓMINA O DOCUMENTO QUE ACREDITE LA REMUNERACIÓN DE LOS MESES SEPTIEMBRE y OCTUBRE DEL AÑO 2018 QUE PERCIBE EL PRESIDENTE MUNICIPAL, SINDICO Y REGIDORES EN VERSIÓN PUBLICA (REFLEJANDO ASI EL SALARIO BRUTO Y NETO MENSUAL). Adjunto al presente, acuse de solicitud formulada con antelación.</w:t>
      </w:r>
      <w:r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(</w:t>
      </w:r>
      <w:proofErr w:type="gramStart"/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5D5E8E" w:rsidRPr="00D21AFF" w:rsidRDefault="005D5E8E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Asimismo, manifestó como razones o motivos de inconformidad, lo siguiente:</w:t>
      </w:r>
    </w:p>
    <w:p w:rsidR="005D5E8E" w:rsidRPr="00D21AFF" w:rsidRDefault="005D5E8E" w:rsidP="00A829C8">
      <w:pPr>
        <w:spacing w:before="100" w:beforeAutospacing="1" w:after="100" w:afterAutospacing="1" w:line="360" w:lineRule="auto"/>
        <w:ind w:left="851" w:right="851"/>
        <w:jc w:val="both"/>
        <w:rPr>
          <w:rFonts w:ascii="Palatino Linotype" w:hAnsi="Palatino Linotype" w:cs="Arial"/>
          <w:i/>
          <w:sz w:val="22"/>
          <w:szCs w:val="22"/>
        </w:rPr>
      </w:pPr>
      <w:r w:rsidRPr="00D21AFF">
        <w:rPr>
          <w:rFonts w:ascii="Palatino Linotype" w:hAnsi="Palatino Linotype" w:cs="Arial"/>
          <w:i/>
          <w:sz w:val="22"/>
          <w:szCs w:val="22"/>
        </w:rPr>
        <w:t>“</w:t>
      </w:r>
      <w:r w:rsidR="00595243" w:rsidRPr="00595243">
        <w:rPr>
          <w:rFonts w:ascii="Palatino Linotype" w:hAnsi="Palatino Linotype"/>
          <w:i/>
          <w:color w:val="000000"/>
          <w:sz w:val="22"/>
          <w:szCs w:val="22"/>
        </w:rPr>
        <w:t>NO SE DIO RESPUESTA A LA SOLICITUD</w:t>
      </w:r>
      <w:r w:rsidRPr="001A34E9">
        <w:rPr>
          <w:rFonts w:ascii="Palatino Linotype" w:hAnsi="Palatino Linotype" w:cs="Arial"/>
          <w:i/>
          <w:sz w:val="22"/>
          <w:szCs w:val="22"/>
        </w:rPr>
        <w:t>”</w:t>
      </w:r>
      <w:r w:rsidRPr="00D21AFF">
        <w:rPr>
          <w:rFonts w:ascii="Palatino Linotype" w:hAnsi="Palatino Linotype" w:cs="Arial"/>
          <w:i/>
          <w:sz w:val="22"/>
          <w:szCs w:val="22"/>
        </w:rPr>
        <w:t xml:space="preserve"> (sic)</w:t>
      </w:r>
    </w:p>
    <w:p w:rsidR="000A0AF5" w:rsidRDefault="00DF0879" w:rsidP="00A829C8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DF0879">
        <w:rPr>
          <w:rFonts w:ascii="Palatino Linotype" w:hAnsi="Palatino Linotype" w:cs="Arial"/>
        </w:rPr>
        <w:t xml:space="preserve">Bajo esa tesitura, </w:t>
      </w:r>
      <w:r w:rsidRPr="00DF0879">
        <w:rPr>
          <w:rFonts w:ascii="Palatino Linotype" w:hAnsi="Palatino Linotype" w:cs="Arial"/>
          <w:b/>
        </w:rPr>
        <w:t>EL SUJETO OBLIGADO</w:t>
      </w:r>
      <w:r w:rsidRPr="00DF0879">
        <w:rPr>
          <w:rFonts w:ascii="Palatino Linotype" w:hAnsi="Palatino Linotype" w:cs="Arial"/>
        </w:rPr>
        <w:t xml:space="preserve"> </w:t>
      </w:r>
      <w:r w:rsidR="000A0AF5" w:rsidRPr="007938C1">
        <w:rPr>
          <w:rFonts w:ascii="Palatino Linotype" w:hAnsi="Palatino Linotype" w:cs="Arial"/>
        </w:rPr>
        <w:t>fue omiso en presentar el Informe Justificado correspondiente</w:t>
      </w:r>
    </w:p>
    <w:p w:rsidR="000A0AF5" w:rsidRDefault="005D5E8E" w:rsidP="00A829C8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color w:val="000000"/>
        </w:rPr>
      </w:pPr>
      <w:r w:rsidRPr="00D21AFF">
        <w:rPr>
          <w:rFonts w:ascii="Palatino Linotype" w:hAnsi="Palatino Linotype" w:cs="Arial"/>
        </w:rPr>
        <w:t xml:space="preserve">Siendo así, la Ponencia </w:t>
      </w:r>
      <w:proofErr w:type="spellStart"/>
      <w:r w:rsidRPr="00D21AFF">
        <w:rPr>
          <w:rFonts w:ascii="Palatino Linotype" w:hAnsi="Palatino Linotype" w:cs="Arial"/>
        </w:rPr>
        <w:t>Resolutora</w:t>
      </w:r>
      <w:proofErr w:type="spellEnd"/>
      <w:r w:rsidRPr="00D21AFF">
        <w:rPr>
          <w:rFonts w:ascii="Palatino Linotype" w:hAnsi="Palatino Linotype" w:cs="Arial"/>
        </w:rPr>
        <w:t xml:space="preserve"> al emitir la resolución concluyó que </w:t>
      </w:r>
      <w:r w:rsidRPr="00D21AFF">
        <w:rPr>
          <w:rFonts w:ascii="Palatino Linotype" w:hAnsi="Palatino Linotype" w:cs="Arial"/>
          <w:i/>
        </w:rPr>
        <w:t>“</w:t>
      </w:r>
      <w:r w:rsidR="000A0AF5">
        <w:rPr>
          <w:rFonts w:ascii="Palatino Linotype" w:hAnsi="Palatino Linotype" w:cs="Arial"/>
          <w:b/>
        </w:rPr>
        <w:t>Resultan fundada</w:t>
      </w:r>
      <w:r w:rsidR="00815A43">
        <w:rPr>
          <w:rFonts w:ascii="Palatino Linotype" w:hAnsi="Palatino Linotype" w:cs="Arial"/>
          <w:b/>
        </w:rPr>
        <w:t xml:space="preserve">s </w:t>
      </w:r>
      <w:r w:rsidRPr="00D21AFF">
        <w:rPr>
          <w:rFonts w:ascii="Palatino Linotype" w:hAnsi="Palatino Linotype" w:cs="Arial"/>
        </w:rPr>
        <w:t xml:space="preserve">los motivos de inconformidad hechos valer por </w:t>
      </w:r>
      <w:r w:rsidR="00815A43">
        <w:rPr>
          <w:rFonts w:ascii="Palatino Linotype" w:hAnsi="Palatino Linotype" w:cs="Arial"/>
          <w:b/>
        </w:rPr>
        <w:t>L</w:t>
      </w:r>
      <w:r w:rsidR="000A0AF5">
        <w:rPr>
          <w:rFonts w:ascii="Palatino Linotype" w:hAnsi="Palatino Linotype" w:cs="Arial"/>
          <w:b/>
        </w:rPr>
        <w:t>A</w:t>
      </w:r>
      <w:r w:rsidRPr="00D21AFF">
        <w:rPr>
          <w:rFonts w:ascii="Palatino Linotype" w:hAnsi="Palatino Linotype" w:cs="Arial"/>
          <w:b/>
        </w:rPr>
        <w:t xml:space="preserve"> RECURRENTE</w:t>
      </w:r>
      <w:r w:rsidRPr="00D21AFF">
        <w:rPr>
          <w:rFonts w:ascii="Palatino Linotype" w:hAnsi="Palatino Linotype" w:cs="Arial"/>
          <w:i/>
        </w:rPr>
        <w:t>…”</w:t>
      </w:r>
      <w:r w:rsidRPr="00D21AFF">
        <w:rPr>
          <w:rFonts w:ascii="Palatino Linotype" w:hAnsi="Palatino Linotype" w:cs="Arial"/>
        </w:rPr>
        <w:t>, en consecuencia, se determinó</w:t>
      </w:r>
      <w:r w:rsidRPr="00D21AFF">
        <w:rPr>
          <w:rFonts w:ascii="Palatino Linotype" w:hAnsi="Palatino Linotype"/>
          <w:color w:val="000000"/>
        </w:rPr>
        <w:t xml:space="preserve"> </w:t>
      </w:r>
      <w:r w:rsidR="000A0AF5">
        <w:rPr>
          <w:rFonts w:ascii="Palatino Linotype" w:hAnsi="Palatino Linotype"/>
          <w:b/>
          <w:color w:val="000000"/>
        </w:rPr>
        <w:t xml:space="preserve">ORDENAR </w:t>
      </w:r>
      <w:r w:rsidR="000A0AF5">
        <w:rPr>
          <w:rFonts w:ascii="Palatino Linotype" w:hAnsi="Palatino Linotype"/>
          <w:color w:val="000000"/>
        </w:rPr>
        <w:t xml:space="preserve">al </w:t>
      </w:r>
      <w:r w:rsidR="000A0AF5">
        <w:rPr>
          <w:rFonts w:ascii="Palatino Linotype" w:hAnsi="Palatino Linotype"/>
          <w:b/>
          <w:color w:val="000000"/>
        </w:rPr>
        <w:t xml:space="preserve">SUJETO OBLIGADO </w:t>
      </w:r>
      <w:r w:rsidR="000A0AF5">
        <w:rPr>
          <w:rFonts w:ascii="Palatino Linotype" w:hAnsi="Palatino Linotype"/>
          <w:color w:val="000000"/>
        </w:rPr>
        <w:t xml:space="preserve">atender la solicitud </w:t>
      </w:r>
      <w:r w:rsidR="000A0AF5">
        <w:rPr>
          <w:rFonts w:ascii="Palatino Linotype" w:hAnsi="Palatino Linotype"/>
          <w:color w:val="000000"/>
        </w:rPr>
        <w:lastRenderedPageBreak/>
        <w:t xml:space="preserve">de información número 00040/ATENCO/IP/2018 y hacer entrega en versión pública, a través del SAIMEX de la siguiente información: </w:t>
      </w:r>
    </w:p>
    <w:p w:rsidR="000A0AF5" w:rsidRPr="000A0AF5" w:rsidRDefault="000A0AF5" w:rsidP="00A829C8">
      <w:pPr>
        <w:pStyle w:val="Prrafodelista"/>
        <w:numPr>
          <w:ilvl w:val="0"/>
          <w:numId w:val="2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 w:cs="Arial"/>
          <w:i/>
        </w:rPr>
      </w:pPr>
      <w:r w:rsidRPr="000A0AF5">
        <w:rPr>
          <w:rFonts w:ascii="Palatino Linotype" w:hAnsi="Palatino Linotype" w:cs="Arial"/>
          <w:i/>
        </w:rPr>
        <w:t>El o los documentos en donde conste</w:t>
      </w:r>
      <w:r w:rsidRPr="000A0AF5">
        <w:rPr>
          <w:rFonts w:ascii="Palatino Linotype" w:hAnsi="Palatino Linotype"/>
          <w:i/>
          <w:color w:val="000000"/>
        </w:rPr>
        <w:t xml:space="preserve"> el salario bruto y neto mensual percibido por el presidente municipal, síndico y regidores del Municipio de Atenco, del periodo comprendido del primero al treinta de septiembre de dos mil dieciocho. </w:t>
      </w:r>
    </w:p>
    <w:p w:rsidR="000A0AF5" w:rsidRPr="000A0AF5" w:rsidRDefault="000A0AF5" w:rsidP="00A829C8">
      <w:pPr>
        <w:pStyle w:val="Prrafodelista"/>
        <w:spacing w:after="0" w:line="240" w:lineRule="auto"/>
        <w:ind w:left="851" w:right="902"/>
        <w:contextualSpacing w:val="0"/>
        <w:jc w:val="both"/>
        <w:rPr>
          <w:rFonts w:ascii="Palatino Linotype" w:hAnsi="Palatino Linotype" w:cs="Arial"/>
          <w:i/>
        </w:rPr>
      </w:pPr>
    </w:p>
    <w:p w:rsidR="006016A4" w:rsidRPr="001A34E9" w:rsidRDefault="000A0AF5" w:rsidP="00A829C8">
      <w:pPr>
        <w:autoSpaceDE w:val="0"/>
        <w:autoSpaceDN w:val="0"/>
        <w:adjustRightInd w:val="0"/>
        <w:ind w:left="851" w:right="902"/>
        <w:jc w:val="both"/>
        <w:rPr>
          <w:rFonts w:ascii="Palatino Linotype" w:hAnsi="Palatino Linotype"/>
          <w:b/>
          <w:color w:val="000000"/>
          <w:sz w:val="22"/>
        </w:rPr>
      </w:pPr>
      <w:r w:rsidRPr="000A0AF5">
        <w:rPr>
          <w:rFonts w:ascii="Palatino Linotype" w:hAnsi="Palatino Linotype" w:cs="Arial"/>
          <w:i/>
          <w:sz w:val="22"/>
          <w:szCs w:val="22"/>
        </w:rPr>
        <w:t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</w:t>
      </w:r>
    </w:p>
    <w:p w:rsidR="000A0AF5" w:rsidRPr="008C5BDF" w:rsidRDefault="005D5E8E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</w:rPr>
      </w:pPr>
      <w:r w:rsidRPr="00D21AFF">
        <w:rPr>
          <w:rFonts w:ascii="Palatino Linotype" w:hAnsi="Palatino Linotype" w:cs="Arial"/>
          <w:lang w:eastAsia="es-CO"/>
        </w:rPr>
        <w:t xml:space="preserve">En ese sentido, </w:t>
      </w:r>
      <w:r w:rsidRPr="00D21AFF">
        <w:rPr>
          <w:rFonts w:ascii="Palatino Linotype" w:hAnsi="Palatino Linotype"/>
          <w:color w:val="000000"/>
        </w:rPr>
        <w:t xml:space="preserve">no pasa desapercibido el hecho de que, a pesar de ser sustancialmente fundado lo manifestado por </w:t>
      </w:r>
      <w:r w:rsidR="00815A43">
        <w:rPr>
          <w:rFonts w:ascii="Palatino Linotype" w:hAnsi="Palatino Linotype"/>
          <w:b/>
          <w:color w:val="000000"/>
        </w:rPr>
        <w:t>L</w:t>
      </w:r>
      <w:r w:rsidR="000A0AF5">
        <w:rPr>
          <w:rFonts w:ascii="Palatino Linotype" w:hAnsi="Palatino Linotype"/>
          <w:b/>
          <w:color w:val="000000"/>
        </w:rPr>
        <w:t>A</w:t>
      </w:r>
      <w:r w:rsidRPr="00D21AFF">
        <w:rPr>
          <w:rFonts w:ascii="Palatino Linotype" w:hAnsi="Palatino Linotype"/>
          <w:color w:val="000000"/>
        </w:rPr>
        <w:t xml:space="preserve"> </w:t>
      </w:r>
      <w:r w:rsidRPr="00D21AFF">
        <w:rPr>
          <w:rFonts w:ascii="Palatino Linotype" w:hAnsi="Palatino Linotype"/>
          <w:b/>
          <w:color w:val="000000"/>
        </w:rPr>
        <w:t>RECURRENTE</w:t>
      </w:r>
      <w:r w:rsidRPr="00D21AFF">
        <w:rPr>
          <w:rFonts w:ascii="Palatino Linotype" w:hAnsi="Palatino Linotype"/>
          <w:color w:val="000000"/>
        </w:rPr>
        <w:t>, tal como</w:t>
      </w:r>
      <w:r w:rsidR="0065070A">
        <w:rPr>
          <w:rFonts w:ascii="Palatino Linotype" w:hAnsi="Palatino Linotype"/>
          <w:color w:val="000000"/>
        </w:rPr>
        <w:t xml:space="preserve"> fue sostenido y resuelto por l</w:t>
      </w:r>
      <w:r w:rsidR="00CE38E8">
        <w:rPr>
          <w:rFonts w:ascii="Palatino Linotype" w:hAnsi="Palatino Linotype"/>
          <w:color w:val="000000"/>
        </w:rPr>
        <w:t>a Comisionada</w:t>
      </w:r>
      <w:r w:rsidRPr="00D21AFF">
        <w:rPr>
          <w:rFonts w:ascii="Palatino Linotype" w:hAnsi="Palatino Linotype"/>
          <w:color w:val="000000"/>
        </w:rPr>
        <w:t xml:space="preserve"> Ponente, la suscrita advierte que en dicho fallo debió precisarse que las manifestaciones hechas por </w:t>
      </w:r>
      <w:r w:rsidR="00815A43">
        <w:rPr>
          <w:rFonts w:ascii="Palatino Linotype" w:hAnsi="Palatino Linotype"/>
          <w:color w:val="000000"/>
        </w:rPr>
        <w:t>l</w:t>
      </w:r>
      <w:r w:rsidR="000A0AF5">
        <w:rPr>
          <w:rFonts w:ascii="Palatino Linotype" w:hAnsi="Palatino Linotype"/>
          <w:color w:val="000000"/>
        </w:rPr>
        <w:t>a</w:t>
      </w:r>
      <w:r w:rsidRPr="00D21AFF">
        <w:rPr>
          <w:rFonts w:ascii="Palatino Linotype" w:hAnsi="Palatino Linotype"/>
          <w:color w:val="000000"/>
        </w:rPr>
        <w:t xml:space="preserve"> particular</w:t>
      </w:r>
      <w:r w:rsidRPr="00D21AFF">
        <w:rPr>
          <w:rFonts w:ascii="Palatino Linotype" w:hAnsi="Palatino Linotype"/>
          <w:b/>
          <w:color w:val="000000"/>
        </w:rPr>
        <w:t>,</w:t>
      </w:r>
      <w:r w:rsidRPr="00D21AFF">
        <w:rPr>
          <w:rFonts w:ascii="Palatino Linotype" w:hAnsi="Palatino Linotype"/>
          <w:color w:val="000000"/>
        </w:rPr>
        <w:t xml:space="preserve"> resulta</w:t>
      </w:r>
      <w:r w:rsidR="00165678">
        <w:rPr>
          <w:rFonts w:ascii="Palatino Linotype" w:hAnsi="Palatino Linotype"/>
          <w:color w:val="000000"/>
        </w:rPr>
        <w:t>ra</w:t>
      </w:r>
      <w:r w:rsidRPr="00D21AFF">
        <w:rPr>
          <w:rFonts w:ascii="Palatino Linotype" w:hAnsi="Palatino Linotype"/>
          <w:color w:val="000000"/>
        </w:rPr>
        <w:t>n parcialmente fundadas</w:t>
      </w:r>
      <w:r w:rsidR="000A0AF5">
        <w:rPr>
          <w:rFonts w:ascii="Palatino Linotype" w:hAnsi="Palatino Linotype"/>
          <w:color w:val="000000"/>
        </w:rPr>
        <w:t xml:space="preserve">, ello en razón de que en sus razones o motivos de inconformidad </w:t>
      </w:r>
      <w:r w:rsidR="008C5BDF">
        <w:rPr>
          <w:rFonts w:ascii="Palatino Linotype" w:hAnsi="Palatino Linotype"/>
          <w:color w:val="000000"/>
        </w:rPr>
        <w:t xml:space="preserve">realizo cuestionamientos novedosos respecto a los formulados en la solicitud </w:t>
      </w:r>
      <w:r w:rsidR="00B71C76">
        <w:rPr>
          <w:rFonts w:ascii="Palatino Linotype" w:hAnsi="Palatino Linotype"/>
          <w:color w:val="000000"/>
        </w:rPr>
        <w:t xml:space="preserve">de acceso a la información pública, solicitando </w:t>
      </w:r>
      <w:r w:rsidR="008C5BDF">
        <w:rPr>
          <w:rFonts w:ascii="Palatino Linotype" w:hAnsi="Palatino Linotype"/>
          <w:color w:val="000000"/>
        </w:rPr>
        <w:t xml:space="preserve">“… </w:t>
      </w:r>
      <w:r w:rsidR="008C5BDF" w:rsidRPr="00595243">
        <w:rPr>
          <w:rFonts w:ascii="Palatino Linotype" w:hAnsi="Palatino Linotype"/>
          <w:i/>
          <w:color w:val="000000"/>
          <w:sz w:val="22"/>
          <w:szCs w:val="22"/>
        </w:rPr>
        <w:t>LOS RECIBOS DE NÓMINA O DOCUMENTO QUE ACREDITE LA REMUNERACIÓN DE LOS MESES SEPTIEMBRE y OCTUBRE DEL AÑO 2018 QUE PERCIBE EL PRESIDENTE MUNICIPAL, SINDICO Y REGIDORES EN VERSIÓN PUBLICA</w:t>
      </w:r>
      <w:r w:rsidR="008C5BDF">
        <w:rPr>
          <w:rFonts w:ascii="Palatino Linotype" w:hAnsi="Palatino Linotype"/>
          <w:i/>
          <w:color w:val="000000"/>
          <w:sz w:val="22"/>
          <w:szCs w:val="22"/>
        </w:rPr>
        <w:t xml:space="preserve">…” (Sic), </w:t>
      </w:r>
      <w:r w:rsidR="008C5BDF">
        <w:rPr>
          <w:rFonts w:ascii="Palatino Linotype" w:hAnsi="Palatino Linotype"/>
          <w:color w:val="000000"/>
          <w:szCs w:val="22"/>
        </w:rPr>
        <w:t xml:space="preserve">argumentos que resultan improcedentes, en atención en que entre los datos precisados en la solicitud de información y los agravios expuestos existe congruencia; sin embargo, </w:t>
      </w:r>
      <w:r w:rsidR="008C5BDF">
        <w:rPr>
          <w:rFonts w:ascii="Palatino Linotype" w:hAnsi="Palatino Linotype"/>
          <w:b/>
          <w:color w:val="000000"/>
          <w:szCs w:val="22"/>
        </w:rPr>
        <w:t xml:space="preserve">LA RECURRENTE </w:t>
      </w:r>
      <w:r w:rsidR="008C5BDF">
        <w:rPr>
          <w:rFonts w:ascii="Palatino Linotype" w:hAnsi="Palatino Linotype"/>
          <w:color w:val="000000"/>
          <w:szCs w:val="22"/>
        </w:rPr>
        <w:t>pretende ampliarlos a través de la interposición del recurso de revisión.</w:t>
      </w:r>
    </w:p>
    <w:p w:rsidR="00DA758F" w:rsidRDefault="00DA758F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8C5BDF" w:rsidRDefault="008C5BDF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lastRenderedPageBreak/>
        <w:t xml:space="preserve">En ese sentido, </w:t>
      </w:r>
      <w:r>
        <w:rPr>
          <w:rFonts w:ascii="Palatino Linotype" w:hAnsi="Palatino Linotype" w:cs="Arial"/>
          <w:color w:val="000000"/>
        </w:rPr>
        <w:t xml:space="preserve">al tratarse de </w:t>
      </w:r>
      <w:r w:rsidRPr="00D666E4">
        <w:rPr>
          <w:rFonts w:ascii="Palatino Linotype" w:hAnsi="Palatino Linotype" w:cs="Arial"/>
        </w:rPr>
        <w:t xml:space="preserve">una petición adicional o </w:t>
      </w:r>
      <w:r w:rsidRPr="00D666E4">
        <w:rPr>
          <w:rFonts w:ascii="Palatino Linotype" w:hAnsi="Palatino Linotype" w:cs="Arial"/>
          <w:i/>
        </w:rPr>
        <w:t xml:space="preserve">plus </w:t>
      </w:r>
      <w:proofErr w:type="spellStart"/>
      <w:r w:rsidRPr="00D666E4">
        <w:rPr>
          <w:rFonts w:ascii="Palatino Linotype" w:hAnsi="Palatino Linotype" w:cs="Arial"/>
          <w:i/>
        </w:rPr>
        <w:t>petitio</w:t>
      </w:r>
      <w:proofErr w:type="spellEnd"/>
      <w:r w:rsidRPr="00D666E4">
        <w:rPr>
          <w:rFonts w:ascii="Palatino Linotype" w:hAnsi="Palatino Linotype" w:cs="Arial"/>
        </w:rPr>
        <w:t>; esto es,</w:t>
      </w:r>
      <w:r>
        <w:rPr>
          <w:rFonts w:ascii="Palatino Linotype" w:hAnsi="Palatino Linotype" w:cs="Arial"/>
        </w:rPr>
        <w:t xml:space="preserve"> la intención de acceder a nueva información mediante la interposición del recurso de revisión</w:t>
      </w:r>
      <w:r>
        <w:rPr>
          <w:rFonts w:ascii="Palatino Linotype" w:hAnsi="Palatino Linotype" w:cs="Arial"/>
          <w:lang w:eastAsia="es-MX"/>
        </w:rPr>
        <w:t xml:space="preserve">, </w:t>
      </w:r>
      <w:r w:rsidRPr="00D666E4">
        <w:rPr>
          <w:rFonts w:ascii="Palatino Linotype" w:hAnsi="Palatino Linotype" w:cs="Arial"/>
          <w:lang w:eastAsia="es-MX"/>
        </w:rPr>
        <w:t>resultaría injustificado examinar</w:t>
      </w:r>
      <w:r>
        <w:rPr>
          <w:rFonts w:ascii="Palatino Linotype" w:hAnsi="Palatino Linotype" w:cs="Arial"/>
          <w:lang w:eastAsia="es-MX"/>
        </w:rPr>
        <w:t xml:space="preserve"> dichos cuestionamientos, máxime que </w:t>
      </w:r>
      <w:r w:rsidRPr="00167532">
        <w:rPr>
          <w:rFonts w:ascii="Palatino Linotype" w:hAnsi="Palatino Linotype" w:cs="Arial"/>
          <w:b/>
          <w:lang w:eastAsia="es-MX"/>
        </w:rPr>
        <w:t>EL SUJETO OBLIGADO</w:t>
      </w:r>
      <w:r>
        <w:rPr>
          <w:rFonts w:ascii="Palatino Linotype" w:hAnsi="Palatino Linotype" w:cs="Arial"/>
          <w:lang w:eastAsia="es-MX"/>
        </w:rPr>
        <w:t>, no tuvo conocimiento de éstos, sino hasta la interposición del recurso de mérito</w:t>
      </w:r>
      <w:r w:rsidRPr="00D666E4">
        <w:rPr>
          <w:rFonts w:ascii="Palatino Linotype" w:hAnsi="Palatino Linotype" w:cs="Arial"/>
          <w:lang w:eastAsia="es-MX"/>
        </w:rPr>
        <w:t>.</w:t>
      </w:r>
      <w:r>
        <w:rPr>
          <w:rFonts w:ascii="Palatino Linotype" w:hAnsi="Palatino Linotype" w:cs="Arial"/>
          <w:lang w:eastAsia="es-MX"/>
        </w:rPr>
        <w:t xml:space="preserve"> </w:t>
      </w:r>
    </w:p>
    <w:p w:rsidR="008C5BDF" w:rsidRDefault="008C5BDF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593328">
        <w:rPr>
          <w:rFonts w:ascii="Palatino Linotype" w:hAnsi="Palatino Linotype" w:cs="Arial"/>
          <w:lang w:eastAsia="es-MX"/>
        </w:rPr>
        <w:t>Sirve de apoyo por analogía la</w:t>
      </w:r>
      <w:r>
        <w:rPr>
          <w:rFonts w:ascii="Palatino Linotype" w:hAnsi="Palatino Linotype" w:cs="Arial"/>
          <w:lang w:eastAsia="es-MX"/>
        </w:rPr>
        <w:t xml:space="preserve"> siguiente</w:t>
      </w:r>
      <w:r w:rsidRPr="00593328">
        <w:rPr>
          <w:rFonts w:ascii="Palatino Linotype" w:hAnsi="Palatino Linotype" w:cs="Arial"/>
          <w:lang w:eastAsia="es-MX"/>
        </w:rPr>
        <w:t xml:space="preserve"> tesis jurisprudencial número VI. 2º. A. J/7</w:t>
      </w:r>
      <w:r>
        <w:rPr>
          <w:rFonts w:ascii="Palatino Linotype" w:hAnsi="Palatino Linotype" w:cs="Arial"/>
          <w:lang w:eastAsia="es-MX"/>
        </w:rPr>
        <w:t>, p</w:t>
      </w:r>
      <w:r w:rsidRPr="00593328">
        <w:rPr>
          <w:rFonts w:ascii="Palatino Linotype" w:hAnsi="Palatino Linotype" w:cs="Arial"/>
          <w:lang w:eastAsia="es-MX"/>
        </w:rPr>
        <w:t>ublicada en el Semanario Judicial de la Federación y su gaceta</w:t>
      </w:r>
      <w:r>
        <w:rPr>
          <w:rFonts w:ascii="Palatino Linotype" w:hAnsi="Palatino Linotype" w:cs="Arial"/>
          <w:lang w:eastAsia="es-MX"/>
        </w:rPr>
        <w:t>,</w:t>
      </w:r>
      <w:r w:rsidRPr="00593328">
        <w:rPr>
          <w:rFonts w:ascii="Palatino Linotype" w:hAnsi="Palatino Linotype" w:cs="Arial"/>
          <w:lang w:eastAsia="es-MX"/>
        </w:rPr>
        <w:t xml:space="preserve"> bajo el número de registro 178,788</w:t>
      </w:r>
      <w:r>
        <w:rPr>
          <w:rFonts w:ascii="Palatino Linotype" w:hAnsi="Palatino Linotype" w:cs="Arial"/>
          <w:lang w:eastAsia="es-MX"/>
        </w:rPr>
        <w:t>: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sz w:val="22"/>
          <w:szCs w:val="21"/>
          <w:lang w:eastAsia="es-MX"/>
        </w:rPr>
        <w:t>“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CONCEPTOS DE VIOLACIÓN EN EL AMPARO DIRECTO.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INOPERANCIA DE LOS QUE INTRODUCEN CUESTIONAMIENTOS NOVEDOSOS QUE NO FUERON PLANTEADOS EN EL JUICIO NATURAL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.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Si en los conceptos de violación se formulan argumentos que no se plantearon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 ante la Sala Fiscal que dictó la sentencia que constituye el acto reclamado,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los mismos son 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inoperantes, toda vez que resultaría injustificado examinar la constitucionalidad de la sentencia combatida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a la luz de razonamientos que no conoció la autoridad responsable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,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pues como tales manifestaciones no formaron parte de la </w:t>
      </w:r>
      <w:proofErr w:type="spellStart"/>
      <w:r w:rsidRPr="00F35B8B">
        <w:rPr>
          <w:rFonts w:ascii="Palatino Linotype" w:hAnsi="Palatino Linotype" w:cs="Arial"/>
          <w:b/>
          <w:i/>
          <w:sz w:val="22"/>
          <w:szCs w:val="21"/>
        </w:rPr>
        <w:t>litis</w:t>
      </w:r>
      <w:proofErr w:type="spellEnd"/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 natural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, la Sala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no tuvo la oportunidad legal de analizarlas ni de pronunciarse sobre ellas</w:t>
      </w:r>
      <w:r w:rsidRPr="00F35B8B">
        <w:rPr>
          <w:rFonts w:ascii="Palatino Linotype" w:hAnsi="Palatino Linotype" w:cs="Arial"/>
          <w:i/>
          <w:sz w:val="22"/>
          <w:szCs w:val="21"/>
        </w:rPr>
        <w:t>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SEGUNDO TRIBUNAL COLEGIADO EN MATERIA ADMINISTRATIVA DEL SEXTO CIRCUITO.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Amparo directo 338/2001. Hilados de Lana, S.A. de C.V. 31 de octubre de 2001. Unanimidad de votos. Ponente: Amanda R. García González. Secretaria: Fernanda María Adela Talavera Díaz.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20/2002. Afianzadora Insurgentes, S.A. de C.V. 14 de febrero de 2002.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271/2002. Fianzas México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Bital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S.A., Grupo Financiero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Bital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. 7 de noviembre de 2002. Unanimidad de votos. Ponente: Antonio Meza Alarcón. Secretario: Roberto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Genchi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Recinos.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lastRenderedPageBreak/>
        <w:t xml:space="preserve">Amparo directo 181/2003. Constructora y Arrendadora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Paquime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 de C.V. 5 de junio de 2003.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137/2003.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Oficentro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Zanella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 de C.V. 12 de junio de 2003.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Véase: Apéndice al Semanario Judicial de la Federación 1917-2000, Tomo III, Materia Administrativa, página 267, tesis 250, de rubro: "CONCEPTOS DE VIOLACIÓN EN EL AMPARO DIRECTO. INEFICACIA DE LOS ARGUMENTOS NO PROPUESTOS A LA SALA FISCAL RESPONSABLE."</w:t>
      </w: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sz w:val="22"/>
          <w:szCs w:val="21"/>
        </w:rPr>
      </w:pPr>
    </w:p>
    <w:p w:rsidR="008C5BDF" w:rsidRPr="00F35B8B" w:rsidRDefault="008C5BDF" w:rsidP="00A829C8">
      <w:pPr>
        <w:ind w:left="851" w:right="899"/>
        <w:jc w:val="both"/>
        <w:rPr>
          <w:rFonts w:ascii="Palatino Linotype" w:hAnsi="Palatino Linotype" w:cs="Arial"/>
          <w:sz w:val="22"/>
          <w:szCs w:val="21"/>
        </w:rPr>
      </w:pPr>
      <w:r w:rsidRPr="00F35B8B">
        <w:rPr>
          <w:rFonts w:ascii="Palatino Linotype" w:hAnsi="Palatino Linotype" w:cs="Arial"/>
          <w:sz w:val="22"/>
          <w:szCs w:val="21"/>
        </w:rPr>
        <w:t>(Énfasis añadido)</w:t>
      </w:r>
    </w:p>
    <w:p w:rsidR="00A829C8" w:rsidRDefault="00A829C8" w:rsidP="00A829C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</w:rPr>
        <w:t>Por lo anteriormente expuesto, considero que en dicho fallo debió precisarse que las</w:t>
      </w:r>
      <w:r w:rsidRPr="00BB013F">
        <w:rPr>
          <w:rFonts w:ascii="Palatino Linotype" w:hAnsi="Palatino Linotype"/>
          <w:color w:val="000000"/>
        </w:rPr>
        <w:t xml:space="preserve"> manifestaciones </w:t>
      </w:r>
      <w:r>
        <w:rPr>
          <w:rFonts w:ascii="Palatino Linotype" w:hAnsi="Palatino Linotype"/>
          <w:color w:val="000000"/>
        </w:rPr>
        <w:t>h</w:t>
      </w:r>
      <w:r w:rsidRPr="00BB013F">
        <w:rPr>
          <w:rFonts w:ascii="Palatino Linotype" w:hAnsi="Palatino Linotype"/>
          <w:color w:val="000000"/>
        </w:rPr>
        <w:t xml:space="preserve">echas por </w:t>
      </w:r>
      <w:r>
        <w:rPr>
          <w:rFonts w:ascii="Palatino Linotype" w:hAnsi="Palatino Linotype"/>
          <w:color w:val="000000"/>
        </w:rPr>
        <w:t>la particular</w:t>
      </w:r>
      <w:r>
        <w:rPr>
          <w:rFonts w:ascii="Palatino Linotype" w:hAnsi="Palatino Linotype"/>
          <w:b/>
          <w:color w:val="000000"/>
        </w:rPr>
        <w:t>,</w:t>
      </w:r>
      <w:r w:rsidR="00165678">
        <w:rPr>
          <w:rFonts w:ascii="Palatino Linotype" w:hAnsi="Palatino Linotype"/>
          <w:color w:val="000000"/>
        </w:rPr>
        <w:t xml:space="preserve"> resultaro</w:t>
      </w:r>
      <w:r>
        <w:rPr>
          <w:rFonts w:ascii="Palatino Linotype" w:hAnsi="Palatino Linotype"/>
          <w:color w:val="000000"/>
        </w:rPr>
        <w:t>n parcialmente fundadas</w:t>
      </w:r>
      <w:r w:rsidRPr="00BB013F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en virtud de que en éstos refirió cuestiones que no iban encaminadas a inconformarse de la falta de respuesta, sino por el contrario pretendía ampliar su solicitud de información a través de la interposición del recurso de revisión, razón por la que</w:t>
      </w:r>
      <w:r>
        <w:rPr>
          <w:rFonts w:ascii="Palatino Linotype" w:hAnsi="Palatino Linotype" w:cs="Arial"/>
        </w:rPr>
        <w:t xml:space="preserve">, se emite </w:t>
      </w:r>
      <w:r w:rsidRPr="009A0480">
        <w:rPr>
          <w:rFonts w:ascii="Palatino Linotype" w:hAnsi="Palatino Linotype" w:cs="Arial"/>
          <w:b/>
        </w:rPr>
        <w:t>OPINIÓN PARTICULAR</w:t>
      </w:r>
      <w:r w:rsidRPr="00F74B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pues</w:t>
      </w:r>
      <w:r w:rsidR="00165678">
        <w:rPr>
          <w:rFonts w:ascii="Palatino Linotype" w:hAnsi="Palatino Linotype" w:cs="Arial"/>
        </w:rPr>
        <w:t xml:space="preserve"> se insiste en que</w:t>
      </w:r>
      <w:r>
        <w:rPr>
          <w:rFonts w:ascii="Palatino Linotype" w:hAnsi="Palatino Linotype" w:cs="Arial"/>
        </w:rPr>
        <w:t xml:space="preserve"> lo procedente sería precisar que las razones o motivos de inconformidad resultaron </w:t>
      </w:r>
      <w:r w:rsidRPr="006843D3">
        <w:rPr>
          <w:rFonts w:ascii="Palatino Linotype" w:hAnsi="Palatino Linotype" w:cs="Arial"/>
          <w:b/>
        </w:rPr>
        <w:t>parcialmente</w:t>
      </w:r>
      <w:r>
        <w:rPr>
          <w:rFonts w:ascii="Palatino Linotype" w:hAnsi="Palatino Linotype" w:cs="Arial"/>
        </w:rPr>
        <w:t xml:space="preserve"> </w:t>
      </w:r>
      <w:r w:rsidRPr="00DD3D6A">
        <w:rPr>
          <w:rFonts w:ascii="Palatino Linotype" w:hAnsi="Palatino Linotype" w:cs="Arial"/>
          <w:b/>
        </w:rPr>
        <w:t>fundadas</w:t>
      </w:r>
      <w:r>
        <w:rPr>
          <w:rFonts w:ascii="Palatino Linotype" w:hAnsi="Palatino Linotype" w:cs="Arial"/>
        </w:rPr>
        <w:t xml:space="preserve">, ya que dichas manifestaciones resultan improcedentes. </w:t>
      </w:r>
    </w:p>
    <w:p w:rsidR="008A0D5C" w:rsidRPr="00D5605A" w:rsidRDefault="008A0D5C" w:rsidP="00A829C8">
      <w:pPr>
        <w:spacing w:before="100" w:beforeAutospacing="1" w:after="100" w:afterAutospacing="1" w:line="360" w:lineRule="auto"/>
        <w:rPr>
          <w:rFonts w:ascii="Palatino Linotype" w:hAnsi="Palatino Linotype" w:cs="Arial"/>
          <w:b/>
          <w:sz w:val="20"/>
        </w:rPr>
      </w:pPr>
    </w:p>
    <w:p w:rsidR="005D5E8E" w:rsidRPr="00D21AFF" w:rsidRDefault="005D5E8E" w:rsidP="00A829C8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 xml:space="preserve">EVA ABAID YAPUR </w:t>
      </w:r>
    </w:p>
    <w:p w:rsidR="005D5E8E" w:rsidRDefault="005D5E8E" w:rsidP="00A829C8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>COMISIONADA</w:t>
      </w:r>
    </w:p>
    <w:p w:rsidR="004B73A3" w:rsidRDefault="004B73A3" w:rsidP="00A829C8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(RÚBRICA)</w:t>
      </w:r>
    </w:p>
    <w:p w:rsidR="00D5605A" w:rsidRPr="00D5605A" w:rsidRDefault="00D5605A" w:rsidP="00A829C8">
      <w:pPr>
        <w:jc w:val="center"/>
        <w:rPr>
          <w:rFonts w:ascii="Palatino Linotype" w:hAnsi="Palatino Linotype" w:cs="Arial"/>
          <w:b/>
          <w:sz w:val="8"/>
          <w:szCs w:val="8"/>
        </w:rPr>
      </w:pPr>
    </w:p>
    <w:p w:rsidR="00680112" w:rsidRDefault="00680112" w:rsidP="00A829C8">
      <w:pPr>
        <w:jc w:val="both"/>
        <w:rPr>
          <w:rFonts w:ascii="Palatino Linotype" w:hAnsi="Palatino Linotype" w:cs="Arial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Esta hoja corresponde a la opinión partic</w:t>
      </w:r>
      <w:bookmarkStart w:id="0" w:name="_GoBack"/>
      <w:bookmarkEnd w:id="0"/>
      <w:r w:rsidRPr="001A34E9">
        <w:rPr>
          <w:rFonts w:ascii="Palatino Linotype" w:hAnsi="Palatino Linotype" w:cs="Arial"/>
          <w:sz w:val="20"/>
          <w:szCs w:val="18"/>
        </w:rPr>
        <w:t>ular emitid</w:t>
      </w:r>
      <w:r w:rsidR="00BE555A" w:rsidRPr="001A34E9">
        <w:rPr>
          <w:rFonts w:ascii="Palatino Linotype" w:hAnsi="Palatino Linotype" w:cs="Arial"/>
          <w:sz w:val="20"/>
          <w:szCs w:val="18"/>
        </w:rPr>
        <w:t xml:space="preserve">a en </w:t>
      </w:r>
      <w:r w:rsidR="001A34E9">
        <w:rPr>
          <w:rFonts w:ascii="Palatino Linotype" w:hAnsi="Palatino Linotype" w:cs="Arial"/>
          <w:sz w:val="20"/>
          <w:szCs w:val="18"/>
        </w:rPr>
        <w:t>la resolución d</w:t>
      </w:r>
      <w:r w:rsidR="00A829C8">
        <w:rPr>
          <w:rFonts w:ascii="Palatino Linotype" w:hAnsi="Palatino Linotype" w:cs="Arial"/>
          <w:sz w:val="20"/>
          <w:szCs w:val="18"/>
        </w:rPr>
        <w:t>el recurso de revisión 0441</w:t>
      </w:r>
      <w:r w:rsidR="00815A43">
        <w:rPr>
          <w:rFonts w:ascii="Palatino Linotype" w:hAnsi="Palatino Linotype" w:cs="Arial"/>
          <w:sz w:val="20"/>
          <w:szCs w:val="18"/>
        </w:rPr>
        <w:t>0</w:t>
      </w:r>
      <w:r w:rsidRPr="001A34E9">
        <w:rPr>
          <w:rFonts w:ascii="Palatino Linotype" w:hAnsi="Palatino Linotype" w:cs="Arial"/>
          <w:sz w:val="20"/>
          <w:szCs w:val="18"/>
        </w:rPr>
        <w:t>/INF</w:t>
      </w:r>
      <w:r w:rsidR="001A34E9">
        <w:rPr>
          <w:rFonts w:ascii="Palatino Linotype" w:hAnsi="Palatino Linotype" w:cs="Arial"/>
          <w:sz w:val="20"/>
          <w:szCs w:val="18"/>
        </w:rPr>
        <w:t>OEM/IP/RR/2018</w:t>
      </w:r>
      <w:r w:rsidR="00815A43">
        <w:rPr>
          <w:rFonts w:ascii="Palatino Linotype" w:hAnsi="Palatino Linotype" w:cs="Arial"/>
          <w:sz w:val="20"/>
          <w:szCs w:val="18"/>
        </w:rPr>
        <w:t xml:space="preserve"> aprobad</w:t>
      </w:r>
      <w:r w:rsidR="008A0D5C">
        <w:rPr>
          <w:rFonts w:ascii="Palatino Linotype" w:hAnsi="Palatino Linotype" w:cs="Arial"/>
          <w:sz w:val="20"/>
          <w:szCs w:val="18"/>
        </w:rPr>
        <w:t>a</w:t>
      </w:r>
      <w:r w:rsidR="00A829C8">
        <w:rPr>
          <w:rFonts w:ascii="Palatino Linotype" w:hAnsi="Palatino Linotype" w:cs="Arial"/>
          <w:sz w:val="20"/>
          <w:szCs w:val="18"/>
        </w:rPr>
        <w:t xml:space="preserve"> el treinta </w:t>
      </w:r>
      <w:r w:rsidRPr="001A34E9">
        <w:rPr>
          <w:rFonts w:ascii="Palatino Linotype" w:hAnsi="Palatino Linotype" w:cs="Arial"/>
          <w:sz w:val="20"/>
          <w:szCs w:val="18"/>
        </w:rPr>
        <w:t xml:space="preserve">de </w:t>
      </w:r>
      <w:r w:rsidR="00A829C8">
        <w:rPr>
          <w:rFonts w:ascii="Palatino Linotype" w:hAnsi="Palatino Linotype" w:cs="Arial"/>
          <w:sz w:val="20"/>
          <w:szCs w:val="18"/>
        </w:rPr>
        <w:t>enero de dos mil diecinueve</w:t>
      </w:r>
      <w:r w:rsidRPr="001A34E9">
        <w:rPr>
          <w:rFonts w:ascii="Palatino Linotype" w:hAnsi="Palatino Linotype" w:cs="Arial"/>
          <w:sz w:val="20"/>
          <w:szCs w:val="18"/>
        </w:rPr>
        <w:t>.</w:t>
      </w:r>
    </w:p>
    <w:p w:rsidR="003B13D0" w:rsidRPr="003B13D0" w:rsidRDefault="003B13D0" w:rsidP="00A829C8">
      <w:pPr>
        <w:jc w:val="both"/>
        <w:rPr>
          <w:rFonts w:ascii="Palatino Linotype" w:hAnsi="Palatino Linotype" w:cs="Arial"/>
          <w:sz w:val="10"/>
          <w:szCs w:val="18"/>
        </w:rPr>
      </w:pPr>
    </w:p>
    <w:p w:rsidR="005D5E8E" w:rsidRPr="001A34E9" w:rsidRDefault="00BE555A" w:rsidP="00A829C8">
      <w:pPr>
        <w:jc w:val="both"/>
        <w:rPr>
          <w:rFonts w:ascii="Palatino Linotype" w:hAnsi="Palatino Linotype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YSM</w:t>
      </w:r>
      <w:r w:rsidR="00680112" w:rsidRPr="001A34E9">
        <w:rPr>
          <w:rFonts w:ascii="Palatino Linotype" w:hAnsi="Palatino Linotype" w:cs="Arial"/>
          <w:sz w:val="20"/>
          <w:szCs w:val="18"/>
        </w:rPr>
        <w:t>/IAHA</w:t>
      </w:r>
    </w:p>
    <w:sectPr w:rsidR="005D5E8E" w:rsidRPr="001A34E9" w:rsidSect="00C062F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F4" w:rsidRDefault="003623F4" w:rsidP="00DE7C48">
      <w:r>
        <w:separator/>
      </w:r>
    </w:p>
  </w:endnote>
  <w:endnote w:type="continuationSeparator" w:id="0">
    <w:p w:rsidR="003623F4" w:rsidRDefault="003623F4" w:rsidP="00DE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4B73A3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4B73A3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4B73A3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4B73A3" w:rsidP="00C062F9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C062F9" w:rsidRPr="00F12350" w:rsidRDefault="00302630" w:rsidP="00C062F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73A3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B73A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C062F9" w:rsidRDefault="004B73A3" w:rsidP="00D5605A">
    <w:pPr>
      <w:pStyle w:val="Piedepgina"/>
      <w:ind w:firstLine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F4" w:rsidRDefault="003623F4" w:rsidP="00DE7C48">
      <w:r>
        <w:separator/>
      </w:r>
    </w:p>
  </w:footnote>
  <w:footnote w:type="continuationSeparator" w:id="0">
    <w:p w:rsidR="003623F4" w:rsidRDefault="003623F4" w:rsidP="00DE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4B73A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4" o:spid="_x0000_s2049" type="#_x0000_t136" style="position:absolute;margin-left:0;margin-top:0;width:627.55pt;height:75.3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13501CB" wp14:editId="1992C714">
          <wp:simplePos x="0" y="0"/>
          <wp:positionH relativeFrom="column">
            <wp:posOffset>-755650</wp:posOffset>
          </wp:positionH>
          <wp:positionV relativeFrom="paragraph">
            <wp:posOffset>-452755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4B73A3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OPINIÓN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="00595243">
      <w:rPr>
        <w:rFonts w:ascii="Palatino Linotype" w:hAnsi="Palatino Linotype" w:cs="Arial"/>
        <w:sz w:val="20"/>
        <w:szCs w:val="20"/>
      </w:rPr>
      <w:t>04410</w:t>
    </w:r>
    <w:r w:rsidR="00E808D8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D21AFF">
      <w:rPr>
        <w:rFonts w:ascii="Palatino Linotype" w:hAnsi="Palatino Linotype" w:cs="Arial"/>
        <w:sz w:val="20"/>
        <w:szCs w:val="20"/>
      </w:rPr>
      <w:t>8</w:t>
    </w:r>
  </w:p>
  <w:p w:rsidR="00DA63E0" w:rsidRDefault="004B73A3" w:rsidP="00C062F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14"/>
        <w:szCs w:val="14"/>
      </w:rPr>
    </w:pPr>
  </w:p>
  <w:p w:rsidR="00C062F9" w:rsidRDefault="004B73A3" w:rsidP="00DE7C48">
    <w:pPr>
      <w:pStyle w:val="Encabezado"/>
      <w:tabs>
        <w:tab w:val="clear" w:pos="4252"/>
        <w:tab w:val="clear" w:pos="8504"/>
        <w:tab w:val="left" w:pos="2326"/>
      </w:tabs>
      <w:ind w:right="-93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5" o:spid="_x0000_s2051" type="#_x0000_t136" style="position:absolute;margin-left:0;margin-top:0;width:627.55pt;height:84.5pt;rotation:315;z-index:-251658240;mso-position-horizontal:center;mso-position-horizontal-relative:margin;mso-position-vertical:center;mso-position-vertical-relative:margin" o:allowincell="f" fillcolor="#bfbfbf [2412]" stroked="f" strokecolor="#d8d8d8 [2732]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4B73A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3" o:spid="_x0000_s2050" type="#_x0000_t136" style="position:absolute;margin-left:0;margin-top:0;width:627.55pt;height:75.3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E6A07"/>
    <w:multiLevelType w:val="hybridMultilevel"/>
    <w:tmpl w:val="46DA79B2"/>
    <w:lvl w:ilvl="0" w:tplc="3D36AEA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42F315E"/>
    <w:multiLevelType w:val="hybridMultilevel"/>
    <w:tmpl w:val="1986A820"/>
    <w:lvl w:ilvl="0" w:tplc="DF2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48"/>
    <w:rsid w:val="000139E8"/>
    <w:rsid w:val="000A0AF5"/>
    <w:rsid w:val="000D0E3F"/>
    <w:rsid w:val="001354D3"/>
    <w:rsid w:val="00165678"/>
    <w:rsid w:val="001A34E9"/>
    <w:rsid w:val="001E5B6F"/>
    <w:rsid w:val="00227F51"/>
    <w:rsid w:val="002B368B"/>
    <w:rsid w:val="002C3163"/>
    <w:rsid w:val="00302630"/>
    <w:rsid w:val="00323E44"/>
    <w:rsid w:val="00355366"/>
    <w:rsid w:val="003623F4"/>
    <w:rsid w:val="00365F29"/>
    <w:rsid w:val="0038314D"/>
    <w:rsid w:val="003B13D0"/>
    <w:rsid w:val="003C2143"/>
    <w:rsid w:val="004B73A3"/>
    <w:rsid w:val="004D6A48"/>
    <w:rsid w:val="004F69CB"/>
    <w:rsid w:val="00513236"/>
    <w:rsid w:val="00563516"/>
    <w:rsid w:val="00595243"/>
    <w:rsid w:val="005D5E8E"/>
    <w:rsid w:val="005E0A3F"/>
    <w:rsid w:val="006016A4"/>
    <w:rsid w:val="006353A8"/>
    <w:rsid w:val="0065070A"/>
    <w:rsid w:val="00672CE4"/>
    <w:rsid w:val="00680112"/>
    <w:rsid w:val="007039EA"/>
    <w:rsid w:val="00710DD6"/>
    <w:rsid w:val="007262CE"/>
    <w:rsid w:val="00742CFC"/>
    <w:rsid w:val="00780BF9"/>
    <w:rsid w:val="00815A43"/>
    <w:rsid w:val="00840C51"/>
    <w:rsid w:val="008A0D5C"/>
    <w:rsid w:val="008C5BDF"/>
    <w:rsid w:val="008F565A"/>
    <w:rsid w:val="009405C9"/>
    <w:rsid w:val="00994F65"/>
    <w:rsid w:val="009F5AD7"/>
    <w:rsid w:val="00A30D37"/>
    <w:rsid w:val="00A829C8"/>
    <w:rsid w:val="00B3248D"/>
    <w:rsid w:val="00B71C76"/>
    <w:rsid w:val="00BE555A"/>
    <w:rsid w:val="00BF3AD5"/>
    <w:rsid w:val="00C23B43"/>
    <w:rsid w:val="00C52C51"/>
    <w:rsid w:val="00CC4235"/>
    <w:rsid w:val="00CE38E8"/>
    <w:rsid w:val="00D02C8A"/>
    <w:rsid w:val="00D21AFF"/>
    <w:rsid w:val="00D410EB"/>
    <w:rsid w:val="00D447D3"/>
    <w:rsid w:val="00D5605A"/>
    <w:rsid w:val="00DA758F"/>
    <w:rsid w:val="00DC6F6A"/>
    <w:rsid w:val="00DE7C48"/>
    <w:rsid w:val="00DF0879"/>
    <w:rsid w:val="00E2199C"/>
    <w:rsid w:val="00E279C5"/>
    <w:rsid w:val="00E7525C"/>
    <w:rsid w:val="00E808D8"/>
    <w:rsid w:val="00EC564A"/>
    <w:rsid w:val="00ED37C2"/>
    <w:rsid w:val="00FA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77547F-296D-4103-B1BB-D977A3B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E5B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E5B6F"/>
  </w:style>
  <w:style w:type="paragraph" w:styleId="Textodeglobo">
    <w:name w:val="Balloon Text"/>
    <w:basedOn w:val="Normal"/>
    <w:link w:val="TextodegloboCar"/>
    <w:uiPriority w:val="99"/>
    <w:semiHidden/>
    <w:unhideWhenUsed/>
    <w:rsid w:val="006353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3A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2018-12-11T20:36:00Z</cp:lastPrinted>
  <dcterms:created xsi:type="dcterms:W3CDTF">2019-02-01T20:56:00Z</dcterms:created>
  <dcterms:modified xsi:type="dcterms:W3CDTF">2019-02-18T18:10:00Z</dcterms:modified>
</cp:coreProperties>
</file>